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13"/>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理财产品管理人：兴银理财有限责任公司</w:t>
      </w: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Fonts w:ascii="宋体" w:hAnsi="宋体"/>
          <w:b/>
          <w:bCs/>
          <w:sz w:val="28"/>
          <w:szCs w:val="28"/>
        </w:rPr>
        <w:t>【2023】年【6】月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兴银理财添利天天利35号净值型理财产品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Theme="majorEastAsia" w:hAnsiTheme="majorEastAsia" w:eastAsiaTheme="majorEastAsia"/>
                <w:bCs/>
                <w:kern w:val="0"/>
                <w:sz w:val="18"/>
                <w:szCs w:val="18"/>
              </w:rPr>
              <w:t>【</w:t>
            </w:r>
            <w:r>
              <w:rPr>
                <w:rFonts w:ascii="宋体" w:hAnsi="宋体"/>
                <w:bCs/>
                <w:sz w:val="18"/>
                <w:szCs w:val="18"/>
              </w:rPr>
              <w:t>兴银添利天天利35号A</w:t>
            </w:r>
            <w:r>
              <w:rPr>
                <w:rFonts w:hint="eastAsia" w:asciiTheme="majorEastAsia" w:hAnsiTheme="majorEastAsia" w:eastAsiaTheme="majorEastAsia"/>
                <w:bCs/>
                <w:kern w:val="0"/>
                <w:sz w:val="18"/>
                <w:szCs w:val="18"/>
              </w:rPr>
              <w:t>】</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Z7002023000422</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【9TTL0350】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color w:val="000000" w:themeColor="text1"/>
                <w:sz w:val="18"/>
                <w:szCs w:val="18"/>
                <w14:textFill>
                  <w14:solidFill>
                    <w14:schemeClr w14:val="tx1"/>
                  </w14:solidFill>
                </w14:textFill>
              </w:rPr>
            </w:pPr>
            <w:r>
              <w:rPr>
                <w:rFonts w:hint="eastAsia" w:hAnsi="宋体"/>
                <w:sz w:val="18"/>
                <w:szCs w:val="18"/>
              </w:rPr>
              <w:t>【</w:t>
            </w:r>
            <w:r>
              <w:rPr>
                <w:rFonts w:ascii="宋体" w:hAnsi="宋体"/>
                <w:bCs/>
                <w:color w:val="000000" w:themeColor="text1"/>
                <w:sz w:val="18"/>
                <w:szCs w:val="18"/>
                <w14:textFill>
                  <w14:solidFill>
                    <w14:schemeClr w14:val="tx1"/>
                  </w14:solidFill>
                </w14:textFill>
              </w:rPr>
              <w:t>9TTL035A</w:t>
            </w:r>
            <w:r>
              <w:rPr>
                <w:rFonts w:hint="eastAsia" w:hAnsi="宋体"/>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12"/>
              <w:rFonts w:hint="eastAsia"/>
            </w:rPr>
            <w:t>第一条</w:t>
          </w:r>
          <w:r>
            <w:rPr>
              <w:rStyle w:val="12"/>
            </w:rPr>
            <w:t xml:space="preserve">  </w:t>
          </w:r>
          <w:r>
            <w:rPr>
              <w:rStyle w:val="12"/>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12"/>
              <w:rFonts w:hint="eastAsia"/>
            </w:rPr>
            <w:t>第二条</w:t>
          </w:r>
          <w:r>
            <w:rPr>
              <w:rStyle w:val="12"/>
            </w:rPr>
            <w:t xml:space="preserve">  </w:t>
          </w:r>
          <w:r>
            <w:rPr>
              <w:rStyle w:val="12"/>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12"/>
              <w:rFonts w:hint="eastAsia"/>
            </w:rPr>
            <w:t>第三条</w:t>
          </w:r>
          <w:r>
            <w:rPr>
              <w:rStyle w:val="12"/>
            </w:rPr>
            <w:t xml:space="preserve">  </w:t>
          </w:r>
          <w:r>
            <w:rPr>
              <w:rStyle w:val="12"/>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12"/>
              <w:rFonts w:hint="eastAsia"/>
            </w:rPr>
            <w:t>第四条</w:t>
          </w:r>
          <w:r>
            <w:rPr>
              <w:rStyle w:val="12"/>
            </w:rPr>
            <w:t xml:space="preserve">  </w:t>
          </w:r>
          <w:r>
            <w:rPr>
              <w:rStyle w:val="12"/>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12"/>
              <w:rFonts w:hint="eastAsia"/>
            </w:rPr>
            <w:t>第五条</w:t>
          </w:r>
          <w:r>
            <w:rPr>
              <w:rStyle w:val="12"/>
            </w:rPr>
            <w:t xml:space="preserve">  </w:t>
          </w:r>
          <w:r>
            <w:rPr>
              <w:rStyle w:val="12"/>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12"/>
              <w:rFonts w:hint="eastAsia"/>
            </w:rPr>
            <w:t>第六条</w:t>
          </w:r>
          <w:r>
            <w:rPr>
              <w:rStyle w:val="12"/>
            </w:rPr>
            <w:t xml:space="preserve">  </w:t>
          </w:r>
          <w:r>
            <w:rPr>
              <w:rStyle w:val="12"/>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5"/>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12"/>
              <w:rFonts w:hint="eastAsia"/>
            </w:rPr>
            <w:t>第七条</w:t>
          </w:r>
          <w:r>
            <w:rPr>
              <w:rStyle w:val="12"/>
            </w:rPr>
            <w:t xml:space="preserve">  </w:t>
          </w:r>
          <w:r>
            <w:rPr>
              <w:rStyle w:val="12"/>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15"/>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type w:val="continuous"/>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Fonts w:ascii="宋体" w:hAnsi="宋体" w:cs="Times New Roman"/>
          <w:b/>
          <w:bCs/>
          <w:sz w:val="32"/>
          <w:szCs w:val="32"/>
        </w:rPr>
        <w:t>【2023】年【6】月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r>
            <w:rPr>
              <w:lang w:val="zh-CN"/>
            </w:rPr>
            <w:t>目录</w:t>
          </w:r>
        </w:p>
        <w:p>
          <w:pPr>
            <w:pStyle w:val="5"/>
            <w:tabs>
              <w:tab w:val="right" w:leader="dot" w:pos="8306"/>
              <w:tab w:val="clear" w:pos="829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5"/>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5"/>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5"/>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5"/>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5"/>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5"/>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5"/>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5"/>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5"/>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兴银理财添利天天利35号净值型理财产品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兴银添利天天利35号A</w:t>
            </w:r>
            <w:r>
              <w:rPr>
                <w:rFonts w:hint="eastAsia" w:asciiTheme="minorEastAsia" w:hAnsiTheme="minorEastAsia"/>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Z7002023000422</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【9TTL0350】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w:t>
            </w:r>
            <w:r>
              <w:rPr>
                <w:rFonts w:ascii="宋体" w:hAnsi="宋体"/>
                <w:bCs/>
                <w:sz w:val="18"/>
                <w:szCs w:val="18"/>
              </w:rPr>
              <w:t>9TTL035A</w:t>
            </w:r>
            <w:r>
              <w:rPr>
                <w:rFonts w:hint="eastAsia" w:ascii="宋体" w:hAnsi="宋体"/>
                <w:bCs/>
                <w:sz w:val="18"/>
                <w:szCs w:val="18"/>
              </w:rPr>
              <w:t>】</w:t>
            </w:r>
            <w:r>
              <w:rPr>
                <w:rFonts w:ascii="宋体" w:hAnsi="宋体"/>
                <w:bCs/>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购买起点金额为【0.01】元；超出起点金额的部分以【0.01】元的整数倍递增。</w:t>
            </w:r>
            <w:r>
              <w:rPr>
                <w:rFonts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15"/>
              <w:spacing w:line="360" w:lineRule="auto"/>
              <w:rPr>
                <w:rFonts w:asciiTheme="minorEastAsia" w:hAnsiTheme="minorEastAsia" w:eastAsiaTheme="minorEastAsia"/>
                <w:color w:val="auto"/>
                <w:sz w:val="18"/>
                <w:szCs w:val="18"/>
              </w:rPr>
            </w:pPr>
            <w:r>
              <w:rPr>
                <w:rFonts w:hAnsi="宋体"/>
                <w:sz w:val="18"/>
                <w:szCs w:val="18"/>
              </w:rPr>
              <w:t>（适用【A】类份额）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35pt;width:122.3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（适用【A】类份额）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（适用【A】类份额）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6"/>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6"/>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（二）估值日</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15"/>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15"/>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13"/>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15"/>
        <w:spacing w:line="360" w:lineRule="auto"/>
        <w:rPr>
          <w:rFonts w:hAnsi="宋体"/>
          <w:sz w:val="18"/>
          <w:szCs w:val="18"/>
        </w:rPr>
      </w:pPr>
    </w:p>
    <w:p>
      <w:pPr>
        <w:spacing w:line="360" w:lineRule="auto"/>
        <w:jc w:val="left"/>
        <w:rPr>
          <w:rFonts w:hint="eastAsia" w:ascii="宋体" w:hAnsi="宋体"/>
          <w:b/>
          <w:sz w:val="18"/>
          <w:szCs w:val="18"/>
        </w:rPr>
        <w:sectPr>
          <w:headerReference r:id="rId9" w:type="default"/>
          <w:footerReference r:id="rId10" w:type="default"/>
          <w:type w:val="continuous"/>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15"/>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兴银理财添利天天利35号净值型理财产品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ascii="宋体" w:hAnsi="宋体"/>
          <w:bCs/>
          <w:sz w:val="18"/>
          <w:szCs w:val="18"/>
        </w:rPr>
        <w:t>兴银添利天天利35号A</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。（适用【A】类份额）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Z7002023000422</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9"/>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 xml:space="preserve"> 销售机构</w:t>
      </w:r>
      <w:r>
        <w:rPr>
          <w:rFonts w:ascii="宋体" w:hAnsi="宋体"/>
          <w:sz w:val="18"/>
          <w:szCs w:val="18"/>
        </w:rPr>
        <w:t>根据</w:t>
      </w:r>
      <w:r>
        <w:rPr>
          <w:rFonts w:hint="eastAsia" w:ascii="宋体" w:hAnsi="宋体"/>
          <w:sz w:val="18"/>
          <w:szCs w:val="18"/>
        </w:rPr>
        <w:t>投资者风险承受能力，个人投资者由低至高分为【C</w:t>
      </w:r>
      <w:r>
        <w:rPr>
          <w:rFonts w:ascii="宋体" w:hAnsi="宋体"/>
          <w:sz w:val="18"/>
          <w:szCs w:val="18"/>
        </w:rPr>
        <w:t>1</w:t>
      </w:r>
      <w:r>
        <w:rPr>
          <w:rFonts w:hint="eastAsia" w:ascii="宋体" w:hAnsi="宋体"/>
          <w:sz w:val="18"/>
          <w:szCs w:val="18"/>
        </w:rPr>
        <w:t>】-【C</w:t>
      </w:r>
      <w:r>
        <w:rPr>
          <w:rFonts w:ascii="宋体" w:hAnsi="宋体"/>
          <w:sz w:val="18"/>
          <w:szCs w:val="18"/>
        </w:rPr>
        <w:t>6</w:t>
      </w:r>
      <w:r>
        <w:rPr>
          <w:rFonts w:hint="eastAsia" w:ascii="宋体" w:hAnsi="宋体"/>
          <w:sz w:val="18"/>
          <w:szCs w:val="18"/>
        </w:rPr>
        <w:t>】六个等级</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w:t>
      </w:r>
      <w:r>
        <w:rPr>
          <w:rStyle w:val="11"/>
          <w:rFonts w:hint="eastAsia" w:ascii="黑体" w:hAnsi="黑体" w:eastAsia="黑体"/>
          <w:sz w:val="28"/>
          <w:szCs w:val="28"/>
          <w:lang w:val="en-US" w:eastAsia="zh-CN"/>
        </w:rPr>
        <w:t>添利</w:t>
      </w:r>
      <w:r>
        <w:rPr>
          <w:rStyle w:val="11"/>
          <w:rFonts w:hint="eastAsia" w:ascii="黑体" w:hAnsi="黑体" w:eastAsia="黑体"/>
          <w:sz w:val="28"/>
          <w:szCs w:val="28"/>
        </w:rPr>
        <w:t>】理财产品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bookmarkStart w:id="1" w:name="_GoBack"/>
      <w:bookmarkEnd w:id="1"/>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docPartObj>
        <w:docPartGallery w:val="autotext"/>
      </w:docPartObj>
    </w:sdtPr>
    <w:sdtContent>
      <w:p>
        <w:pPr>
          <w:pStyle w:val="3"/>
          <w:jc w:val="center"/>
        </w:pPr>
        <w:r>
          <w:rPr>
            <w:rFonts w:hint="eastAsia"/>
          </w:rPr>
          <w:t>第</w:t>
        </w:r>
        <w:r>
          <w:fldChar w:fldCharType="begin"/>
        </w:r>
        <w:r>
          <w:instrText xml:space="preserve">PAGE   \* MERGEFORMAT</w:instrText>
        </w:r>
        <w:r>
          <w:fldChar w:fldCharType="separate"/>
        </w:r>
        <w:r>
          <w:rPr>
            <w:lang w:val="zh-CN"/>
          </w:rPr>
          <w:t>4</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b/>
      </w:rPr>
      <w:t>投资协议书</w:t>
    </w:r>
  </w:p>
  <w:p>
    <w:pPr>
      <w:pStyle w:val="4"/>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4"/>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4"/>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4"/>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4"/>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D52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qFormat/>
    <w:uiPriority w:val="99"/>
    <w:rPr>
      <w:color w:val="0000FF"/>
      <w:u w:val="single"/>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2023-10-25T01:36:57Z</dcterms:created>
  <dc:creator>cib</dc:creator>
  <cp:lastModifiedBy>Administrator</cp:lastModifiedBy>
  <dcterms:modified xsi:type="dcterms:W3CDTF">2023-10-25T01:39:29Z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