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理财产品管理人：兴银理财有限责任公司</w:t>
      </w: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Fonts w:ascii="宋体" w:hAnsi="宋体"/>
          <w:b/>
          <w:bCs/>
          <w:sz w:val="28"/>
          <w:szCs w:val="28"/>
        </w:rPr>
        <w:t>【2023】年【</w:t>
      </w:r>
      <w:r>
        <w:rPr>
          <w:rFonts w:hint="eastAsia" w:ascii="宋体" w:hAnsi="宋体"/>
          <w:b/>
          <w:bCs/>
          <w:sz w:val="28"/>
          <w:szCs w:val="28"/>
          <w:lang w:val="en-US" w:eastAsia="zh-CN"/>
        </w:rPr>
        <w:t>9</w:t>
      </w:r>
      <w:r>
        <w:rPr>
          <w:rFonts w:ascii="宋体" w:hAnsi="宋体"/>
          <w:b/>
          <w:bCs/>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【兴银添利天天利32号B】（适用【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】注：投资者可依据理财产品登记编码在中国理财网查询产品信息</w:t>
            </w:r>
            <w:r>
              <w:rPr>
                <w:rFonts w:ascii="宋体" w:hAnsi="宋体"/>
                <w:bCs/>
                <w:sz w:val="18"/>
                <w:szCs w:val="18"/>
              </w:rPr>
              <w:fldChar w:fldCharType="begin"/>
            </w:r>
            <w:r>
              <w:rPr>
                <w:rFonts w:ascii="宋体" w:hAnsi="宋体"/>
                <w:bCs/>
                <w:sz w:val="18"/>
                <w:szCs w:val="18"/>
              </w:rPr>
              <w:instrText xml:space="preserve"> HYPERLINK "http://www.chinawealth.com.cn" </w:instrText>
            </w:r>
            <w:r>
              <w:rPr>
                <w:rFonts w:ascii="宋体" w:hAnsi="宋体"/>
                <w:bCs/>
                <w:sz w:val="18"/>
                <w:szCs w:val="18"/>
              </w:rP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sz w:val="18"/>
                <w:szCs w:val="18"/>
              </w:rPr>
              <w:t>【9TTL0320】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9TTL032</w:t>
            </w:r>
            <w:r>
              <w:rPr>
                <w:rFonts w:hint="eastAsia" w:ascii="宋体" w:hAnsi="宋体"/>
                <w:bCs/>
                <w:sz w:val="18"/>
                <w:szCs w:val="18"/>
                <w:lang w:val="en-US" w:eastAsia="zh-CN"/>
              </w:rPr>
              <w:t>B</w:t>
            </w:r>
            <w:r>
              <w:rPr>
                <w:rFonts w:hint="eastAsia" w:ascii="宋体" w:hAnsi="宋体"/>
                <w:bCs/>
                <w:sz w:val="18"/>
                <w:szCs w:val="18"/>
              </w:rPr>
              <w:t>】（适用【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p>
      <w:pPr>
        <w:pStyle w:val="2"/>
        <w:spacing w:before="0" w:after="0"/>
        <w:jc w:val="center"/>
        <w:rPr>
          <w:rFonts w:ascii="Times New Roman"/>
          <w:color w:val="auto"/>
          <w:sz w:val="30"/>
        </w:rPr>
      </w:pPr>
      <w:r>
        <w:rPr>
          <w:rFonts w:hint="eastAsia" w:ascii="Times New Roman"/>
          <w:color w:val="auto"/>
          <w:sz w:val="30"/>
        </w:rPr>
        <w:t>第一条</w:t>
      </w:r>
      <w:r>
        <w:rPr>
          <w:rFonts w:ascii="Times New Roman"/>
          <w:color w:val="auto"/>
          <w:sz w:val="30"/>
        </w:rPr>
        <w:t xml:space="preserve">  </w:t>
      </w:r>
      <w:r>
        <w:rPr>
          <w:rFonts w:hint="eastAsia" w:ascii="Times New Roman"/>
          <w:color w:val="auto"/>
          <w:sz w:val="30"/>
        </w:rPr>
        <w:t>前言</w:t>
      </w:r>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号）、《商业银行理财子公司管理办法》（银保监会令2018年第7号）、《理财公司理财产品销售管理暂行办法》（银保监会令2021年第4号）等监管规定及其他有关规定。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p>
      <w:pPr>
        <w:widowControl/>
        <w:spacing w:line="360" w:lineRule="auto"/>
        <w:jc w:val="left"/>
      </w:pPr>
      <w:r>
        <w:br w:type="page"/>
      </w:r>
    </w:p>
    <w:p>
      <w:pPr>
        <w:pStyle w:val="2"/>
        <w:spacing w:before="0" w:after="0"/>
        <w:jc w:val="center"/>
        <w:rPr>
          <w:rFonts w:ascii="Times New Roman"/>
          <w:color w:val="auto"/>
          <w:sz w:val="30"/>
        </w:rPr>
      </w:pPr>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p>
    <w:p>
      <w:pPr>
        <w:tabs>
          <w:tab w:val="left" w:pos="704"/>
          <w:tab w:val="left" w:pos="1995"/>
        </w:tabs>
        <w:autoSpaceDE w:val="0"/>
        <w:autoSpaceDN w:val="0"/>
        <w:adjustRightInd w:val="0"/>
        <w:snapToGrid w:val="0"/>
        <w:spacing w:line="360" w:lineRule="auto"/>
        <w:ind w:firstLine="361" w:firstLineChars="200"/>
        <w:outlineLvl w:val="1"/>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outlineLvl w:val="1"/>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ascii="Times New Roman"/>
          <w:sz w:val="30"/>
        </w:rPr>
      </w:pPr>
      <w:r>
        <w:rPr>
          <w:rFonts w:hint="eastAsia" w:ascii="Times New Roman"/>
          <w:color w:val="auto"/>
          <w:sz w:val="30"/>
        </w:rPr>
        <w:t>第三条</w:t>
      </w:r>
      <w:r>
        <w:rPr>
          <w:rFonts w:ascii="Times New Roman"/>
          <w:color w:val="auto"/>
          <w:sz w:val="30"/>
        </w:rPr>
        <w:t xml:space="preserve">  不可抗力</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第五条</w:t>
      </w:r>
      <w:r>
        <w:rPr>
          <w:rFonts w:ascii="Times New Roman"/>
          <w:color w:val="auto"/>
          <w:sz w:val="30"/>
        </w:rPr>
        <w:t xml:space="preserve">  法律适用和争议解决</w:t>
      </w:r>
    </w:p>
    <w:p>
      <w:pPr>
        <w:adjustRightInd w:val="0"/>
        <w:spacing w:line="360" w:lineRule="auto"/>
        <w:ind w:firstLine="360" w:firstLineChars="200"/>
        <w:outlineLvl w:val="1"/>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 xml:space="preserve">消费者权益保护 </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outlineLvl w:val="1"/>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outlineLvl w:val="2"/>
        <w:rPr>
          <w:rFonts w:ascii="黑体" w:hAnsi="黑体" w:eastAsia="黑体"/>
          <w:sz w:val="18"/>
          <w:szCs w:val="18"/>
        </w:rPr>
      </w:pPr>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p>
    <w:p>
      <w:pPr>
        <w:tabs>
          <w:tab w:val="left" w:pos="704"/>
          <w:tab w:val="left" w:pos="1995"/>
        </w:tabs>
        <w:autoSpaceDE w:val="0"/>
        <w:autoSpaceDN w:val="0"/>
        <w:adjustRightInd w:val="0"/>
        <w:snapToGrid w:val="0"/>
        <w:spacing w:line="360" w:lineRule="auto"/>
        <w:ind w:firstLine="360" w:firstLineChars="200"/>
        <w:outlineLvl w:val="2"/>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type w:val="continuous"/>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【2023】年【</w:t>
      </w:r>
      <w:r>
        <w:rPr>
          <w:rFonts w:hint="eastAsia" w:ascii="宋体" w:hAnsi="宋体" w:cs="Times New Roman"/>
          <w:b/>
          <w:bCs/>
          <w:sz w:val="32"/>
          <w:szCs w:val="32"/>
          <w:lang w:val="en-US" w:eastAsia="zh-CN"/>
        </w:rPr>
        <w:t>9</w:t>
      </w:r>
      <w:r>
        <w:rPr>
          <w:rFonts w:ascii="宋体" w:hAnsi="宋体" w:cs="Times New Roman"/>
          <w:b/>
          <w:bCs/>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68"/>
            <w:spacing w:line="360" w:lineRule="auto"/>
            <w:jc w:val="center"/>
          </w:pPr>
          <w:r>
            <w:rPr>
              <w:lang w:val="zh-CN"/>
            </w:rPr>
            <w:t>目录</w:t>
          </w:r>
        </w:p>
        <w:p>
          <w:pPr>
            <w:pStyle w:val="16"/>
            <w:tabs>
              <w:tab w:val="right" w:leader="dot" w:pos="8306"/>
              <w:tab w:val="clear" w:pos="829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16"/>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16"/>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16"/>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16"/>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16"/>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16"/>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【兴银添利天天利32号B】（适用【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vAlign w:val="top"/>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】注：投资者可依据理财产品登记编码在中国理财网查询产品信息</w:t>
            </w:r>
            <w:r>
              <w:rPr>
                <w:rFonts w:ascii="宋体" w:hAnsi="宋体"/>
                <w:bCs/>
                <w:sz w:val="18"/>
                <w:szCs w:val="18"/>
              </w:rPr>
              <w:fldChar w:fldCharType="begin"/>
            </w:r>
            <w:r>
              <w:rPr>
                <w:rFonts w:ascii="宋体" w:hAnsi="宋体"/>
                <w:bCs/>
                <w:sz w:val="18"/>
                <w:szCs w:val="18"/>
              </w:rPr>
              <w:instrText xml:space="preserve"> HYPERLINK "http://www.chinawealth.com.cn" </w:instrText>
            </w:r>
            <w:r>
              <w:rPr>
                <w:rFonts w:ascii="宋体" w:hAnsi="宋体"/>
                <w:bCs/>
                <w:sz w:val="18"/>
                <w:szCs w:val="18"/>
              </w:rP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【9TTL0320】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top"/>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9TTL032</w:t>
            </w:r>
            <w:r>
              <w:rPr>
                <w:rFonts w:hint="eastAsia" w:ascii="宋体" w:hAnsi="宋体"/>
                <w:bCs/>
                <w:sz w:val="18"/>
                <w:szCs w:val="18"/>
                <w:lang w:val="en-US" w:eastAsia="zh-CN"/>
              </w:rPr>
              <w:t>B</w:t>
            </w:r>
            <w:r>
              <w:rPr>
                <w:rFonts w:hint="eastAsia" w:ascii="宋体" w:hAnsi="宋体"/>
                <w:bCs/>
                <w:sz w:val="18"/>
                <w:szCs w:val="18"/>
              </w:rPr>
              <w:t>】（适用【</w:t>
            </w:r>
            <w:r>
              <w:rPr>
                <w:rFonts w:hint="eastAsia" w:ascii="宋体" w:hAnsi="宋体"/>
                <w:bCs/>
                <w:sz w:val="18"/>
                <w:szCs w:val="18"/>
                <w:lang w:val="en-US" w:eastAsia="zh-CN"/>
              </w:rPr>
              <w:t>B</w:t>
            </w:r>
            <w:r>
              <w:rPr>
                <w:rFonts w:hint="eastAsia"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43"/>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43"/>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43"/>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43"/>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43"/>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43"/>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】元的整数倍递增。</w:t>
            </w:r>
            <w:r>
              <w:rPr>
                <w:rFonts w:asciiTheme="majorEastAsia" w:hAnsiTheme="majorEastAsia" w:eastAsiaTheme="majorEastAsia"/>
                <w:bCs/>
                <w:color w:val="000000" w:themeColor="text1"/>
                <w:sz w:val="18"/>
                <w:szCs w:val="18"/>
              </w:rPr>
              <w:t>（适用【</w:t>
            </w:r>
            <w:r>
              <w:rPr>
                <w:rFonts w:hint="eastAsia" w:asciiTheme="majorEastAsia" w:hAnsiTheme="majorEastAsia" w:eastAsiaTheme="majorEastAsia"/>
                <w:bCs/>
                <w:color w:val="000000" w:themeColor="text1"/>
                <w:sz w:val="18"/>
                <w:szCs w:val="18"/>
                <w:lang w:val="en-US" w:eastAsia="zh-CN"/>
              </w:rPr>
              <w:t>B</w:t>
            </w:r>
            <w:r>
              <w:rPr>
                <w:rFonts w:asciiTheme="majorEastAsia" w:hAnsiTheme="majorEastAsia" w:eastAsiaTheme="majorEastAsia"/>
                <w:bCs/>
                <w:color w:val="000000" w:themeColor="text1"/>
                <w:sz w:val="18"/>
                <w:szCs w:val="18"/>
              </w:rPr>
              <w:t>】类份额）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Ansi="宋体"/>
                <w:sz w:val="18"/>
                <w:szCs w:val="18"/>
              </w:rPr>
              <w:t>（适用【</w:t>
            </w:r>
            <w:r>
              <w:rPr>
                <w:rFonts w:hint="eastAsia" w:hAnsi="宋体"/>
                <w:sz w:val="18"/>
                <w:szCs w:val="18"/>
                <w:lang w:val="en-US" w:eastAsia="zh-CN"/>
              </w:rPr>
              <w:t>B</w:t>
            </w:r>
            <w:r>
              <w:rPr>
                <w:rFonts w:hAnsi="宋体"/>
                <w:sz w:val="18"/>
                <w:szCs w:val="18"/>
              </w:rPr>
              <w:t>】类份额）</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43"/>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35pt;width:122.3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w:t>
            </w:r>
            <w:r>
              <w:rPr>
                <w:rFonts w:hint="eastAsia" w:hAnsi="宋体"/>
                <w:sz w:val="18"/>
                <w:szCs w:val="18"/>
                <w:lang w:val="en-US" w:eastAsia="zh-CN"/>
              </w:rPr>
              <w:t>B</w:t>
            </w:r>
            <w:r>
              <w:rPr>
                <w:rFonts w:hAnsi="宋体"/>
                <w:sz w:val="18"/>
                <w:szCs w:val="18"/>
              </w:rPr>
              <w:t>】类份额）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w:t>
            </w:r>
            <w:r>
              <w:rPr>
                <w:rFonts w:hint="eastAsia" w:hAnsi="宋体"/>
                <w:sz w:val="18"/>
                <w:szCs w:val="18"/>
                <w:lang w:val="en-US" w:eastAsia="zh-CN"/>
              </w:rPr>
              <w:t>B</w:t>
            </w:r>
            <w:r>
              <w:rPr>
                <w:rFonts w:hAnsi="宋体"/>
                <w:sz w:val="18"/>
                <w:szCs w:val="18"/>
              </w:rPr>
              <w:t>】类份额）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43"/>
        <w:spacing w:line="360" w:lineRule="auto"/>
        <w:ind w:firstLine="361"/>
        <w:rPr>
          <w:rFonts w:hAnsi="宋体"/>
          <w:b/>
          <w:color w:val="auto"/>
          <w:sz w:val="18"/>
          <w:szCs w:val="18"/>
        </w:rPr>
      </w:pPr>
      <w:r>
        <w:rPr>
          <w:rFonts w:hint="eastAsia" w:hAnsi="宋体"/>
          <w:b/>
          <w:color w:val="auto"/>
          <w:sz w:val="18"/>
          <w:szCs w:val="18"/>
        </w:rPr>
        <w:t>（一）估值目的</w:t>
      </w:r>
    </w:p>
    <w:p>
      <w:pPr>
        <w:pStyle w:val="43"/>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43"/>
        <w:spacing w:line="360" w:lineRule="auto"/>
        <w:ind w:firstLine="361"/>
        <w:rPr>
          <w:rFonts w:hAnsi="宋体"/>
          <w:b/>
          <w:color w:val="auto"/>
          <w:sz w:val="18"/>
          <w:szCs w:val="18"/>
        </w:rPr>
      </w:pPr>
      <w:r>
        <w:rPr>
          <w:rFonts w:hint="eastAsia" w:hAnsi="宋体"/>
          <w:b/>
          <w:color w:val="auto"/>
          <w:sz w:val="18"/>
          <w:szCs w:val="18"/>
        </w:rPr>
        <w:t>（二）估值日</w:t>
      </w:r>
    </w:p>
    <w:p>
      <w:pPr>
        <w:pStyle w:val="43"/>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43"/>
        <w:spacing w:line="360" w:lineRule="auto"/>
        <w:ind w:firstLine="361"/>
        <w:rPr>
          <w:rFonts w:hAnsi="宋体"/>
          <w:b/>
          <w:color w:val="auto"/>
          <w:sz w:val="18"/>
          <w:szCs w:val="18"/>
        </w:rPr>
      </w:pPr>
      <w:r>
        <w:rPr>
          <w:rFonts w:hint="eastAsia" w:hAnsi="宋体"/>
          <w:b/>
          <w:color w:val="auto"/>
          <w:sz w:val="18"/>
          <w:szCs w:val="18"/>
        </w:rPr>
        <w:t>（三）估值对象</w:t>
      </w:r>
    </w:p>
    <w:p>
      <w:pPr>
        <w:pStyle w:val="43"/>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43"/>
        <w:spacing w:line="360" w:lineRule="auto"/>
        <w:ind w:firstLine="361"/>
        <w:rPr>
          <w:rFonts w:hAnsi="宋体"/>
          <w:b/>
          <w:color w:val="auto"/>
          <w:sz w:val="18"/>
          <w:szCs w:val="18"/>
        </w:rPr>
      </w:pPr>
      <w:r>
        <w:rPr>
          <w:rFonts w:hint="eastAsia" w:hAnsi="宋体"/>
          <w:b/>
          <w:color w:val="auto"/>
          <w:sz w:val="18"/>
          <w:szCs w:val="18"/>
        </w:rPr>
        <w:t>（四）估值方法</w:t>
      </w:r>
    </w:p>
    <w:p>
      <w:pPr>
        <w:pStyle w:val="43"/>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43"/>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43"/>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43"/>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43"/>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43"/>
        <w:spacing w:line="360" w:lineRule="auto"/>
        <w:ind w:firstLine="361"/>
        <w:rPr>
          <w:rFonts w:hAnsi="宋体"/>
          <w:b/>
          <w:color w:val="auto"/>
          <w:sz w:val="18"/>
          <w:szCs w:val="18"/>
        </w:rPr>
      </w:pPr>
      <w:r>
        <w:rPr>
          <w:rFonts w:hint="eastAsia" w:hAnsi="宋体"/>
          <w:b/>
          <w:color w:val="auto"/>
          <w:sz w:val="18"/>
          <w:szCs w:val="18"/>
        </w:rPr>
        <w:t>（五）估值程序</w:t>
      </w:r>
    </w:p>
    <w:p>
      <w:pPr>
        <w:pStyle w:val="43"/>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43"/>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43"/>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43"/>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43"/>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43"/>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43"/>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9" w:type="default"/>
          <w:footerReference r:id="rId10" w:type="default"/>
          <w:type w:val="continuous"/>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 xml:space="preserve">【 </w:t>
      </w:r>
      <w:r>
        <w:rPr>
          <w:rFonts w:ascii="宋体" w:hAnsi="宋体" w:cs="仿宋_GB2312"/>
          <w:kern w:val="0"/>
          <w:sz w:val="18"/>
          <w:szCs w:val="18"/>
        </w:rPr>
        <w:t xml:space="preserve">                                   </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 xml:space="preserve">等级：【 </w:t>
      </w:r>
      <w:r>
        <w:rPr>
          <w:rFonts w:ascii="宋体" w:hAnsi="宋体" w:cs="仿宋_GB2312"/>
          <w:kern w:val="0"/>
          <w:sz w:val="18"/>
          <w:szCs w:val="18"/>
        </w:rPr>
        <w:t xml:space="preserve">                                </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兴银理财添利天天利32号净值型理财产品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兴银添利天天利32号B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Z7002023000405</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C6】</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58"/>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58"/>
        <w:ind w:firstLine="426" w:firstLineChars="0"/>
        <w:rPr>
          <w:rFonts w:ascii="宋体" w:hAnsi="宋体"/>
          <w:sz w:val="18"/>
          <w:szCs w:val="18"/>
        </w:rPr>
      </w:pPr>
      <w:r>
        <w:rPr>
          <w:rFonts w:hint="eastAsia" w:ascii="宋体" w:hAnsi="宋体"/>
          <w:sz w:val="18"/>
          <w:szCs w:val="18"/>
        </w:rPr>
        <w:t>1.拟投资市场和资产的风险：</w:t>
      </w:r>
    </w:p>
    <w:p>
      <w:pPr>
        <w:pStyle w:val="58"/>
        <w:ind w:firstLine="426" w:firstLineChars="0"/>
        <w:rPr>
          <w:rFonts w:ascii="宋体" w:hAnsi="宋体"/>
          <w:sz w:val="18"/>
          <w:szCs w:val="18"/>
        </w:rPr>
      </w:pPr>
      <w:r>
        <w:rPr>
          <w:rFonts w:hint="eastAsia" w:ascii="宋体" w:hAnsi="宋体"/>
          <w:sz w:val="18"/>
          <w:szCs w:val="18"/>
        </w:rPr>
        <w:t>（1）投资固定收益类资产的风险</w:t>
      </w:r>
    </w:p>
    <w:p>
      <w:pPr>
        <w:pStyle w:val="58"/>
        <w:ind w:firstLine="426" w:firstLineChars="0"/>
        <w:rPr>
          <w:rFonts w:ascii="宋体" w:hAnsi="宋体"/>
          <w:sz w:val="18"/>
          <w:szCs w:val="18"/>
        </w:rPr>
      </w:pPr>
      <w:r>
        <w:rPr>
          <w:rFonts w:hint="eastAsia" w:ascii="宋体" w:hAnsi="宋体"/>
          <w:sz w:val="18"/>
          <w:szCs w:val="18"/>
        </w:rPr>
        <w:t>1）投资标准化债权类资产的风险</w:t>
      </w:r>
    </w:p>
    <w:p>
      <w:pPr>
        <w:pStyle w:val="58"/>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58"/>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lang w:val="en-US" w:eastAsia="zh-CN"/>
        </w:rPr>
        <w:t xml:space="preserve">      </w:t>
      </w:r>
      <w:r>
        <w:rPr>
          <w:rFonts w:hint="eastAsia" w:ascii="宋体" w:hAnsi="宋体"/>
          <w:sz w:val="18"/>
          <w:szCs w:val="18"/>
        </w:rPr>
        <w:t>）</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w:t>
      </w:r>
      <w:r>
        <w:rPr>
          <w:rStyle w:val="27"/>
          <w:rFonts w:hint="eastAsia" w:ascii="黑体" w:hAnsi="黑体" w:eastAsia="黑体"/>
          <w:sz w:val="28"/>
          <w:szCs w:val="28"/>
          <w:lang w:val="en-US" w:eastAsia="zh-CN"/>
        </w:rPr>
        <w:t>添利</w:t>
      </w:r>
      <w:r>
        <w:rPr>
          <w:rStyle w:val="27"/>
          <w:rFonts w:hint="eastAsia" w:ascii="黑体" w:hAnsi="黑体" w:eastAsia="黑体"/>
          <w:sz w:val="28"/>
          <w:szCs w:val="28"/>
        </w:rPr>
        <w:t>】理财产品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 xml:space="preserve"> 销售机构</w:t>
      </w:r>
      <w:r>
        <w:rPr>
          <w:rFonts w:ascii="宋体" w:hAnsi="宋体"/>
          <w:sz w:val="18"/>
          <w:szCs w:val="18"/>
        </w:rPr>
        <w:t>根据</w:t>
      </w:r>
      <w:r>
        <w:rPr>
          <w:rFonts w:hint="eastAsia" w:ascii="宋体" w:hAnsi="宋体"/>
          <w:sz w:val="18"/>
          <w:szCs w:val="18"/>
        </w:rPr>
        <w:t>投资者风险承受能力，个人投资者由低至高分为【C</w:t>
      </w:r>
      <w:r>
        <w:rPr>
          <w:rFonts w:ascii="宋体" w:hAnsi="宋体"/>
          <w:sz w:val="18"/>
          <w:szCs w:val="18"/>
        </w:rPr>
        <w:t>1</w:t>
      </w:r>
      <w:r>
        <w:rPr>
          <w:rFonts w:hint="eastAsia" w:ascii="宋体" w:hAnsi="宋体"/>
          <w:sz w:val="18"/>
          <w:szCs w:val="18"/>
        </w:rPr>
        <w:t>】-【C</w:t>
      </w:r>
      <w:r>
        <w:rPr>
          <w:rFonts w:ascii="宋体" w:hAnsi="宋体"/>
          <w:sz w:val="18"/>
          <w:szCs w:val="18"/>
        </w:rPr>
        <w:t>6</w:t>
      </w:r>
      <w:r>
        <w:rPr>
          <w:rFonts w:hint="eastAsia" w:ascii="宋体" w:hAnsi="宋体"/>
          <w:sz w:val="18"/>
          <w:szCs w:val="18"/>
        </w:rPr>
        <w:t>】六个等级</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0" w:name="_Hlk64707831"/>
      <w:r>
        <w:rPr>
          <w:rFonts w:hint="eastAsia" w:ascii="宋体" w:hAnsi="宋体"/>
          <w:sz w:val="18"/>
          <w:szCs w:val="18"/>
        </w:rPr>
        <w:t>兴银理财客户服务热线：40015-95561。</w:t>
      </w:r>
      <w:bookmarkEnd w:id="0"/>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w:t>
      </w:r>
      <w:r>
        <w:rPr>
          <w:rStyle w:val="27"/>
          <w:rFonts w:hint="eastAsia" w:ascii="黑体" w:hAnsi="黑体" w:eastAsia="黑体"/>
          <w:sz w:val="28"/>
          <w:szCs w:val="28"/>
          <w:lang w:val="en-US" w:eastAsia="zh-CN"/>
        </w:rPr>
        <w:t>添利</w:t>
      </w:r>
      <w:r>
        <w:rPr>
          <w:rStyle w:val="27"/>
          <w:rFonts w:hint="eastAsia" w:ascii="黑体" w:hAnsi="黑体" w:eastAsia="黑体"/>
          <w:sz w:val="28"/>
          <w:szCs w:val="28"/>
        </w:rPr>
        <w:t>】理财产品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投资者风险承受能力，机构投资者由低至高分为【C1-C5】</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w:t>
      </w:r>
      <w:r>
        <w:rPr>
          <w:rStyle w:val="27"/>
          <w:rFonts w:hint="eastAsia" w:ascii="黑体" w:hAnsi="黑体" w:eastAsia="黑体"/>
          <w:sz w:val="28"/>
          <w:szCs w:val="28"/>
          <w:lang w:val="en-US" w:eastAsia="zh-CN"/>
        </w:rPr>
        <w:t>添利</w:t>
      </w:r>
      <w:r>
        <w:rPr>
          <w:rStyle w:val="27"/>
          <w:rFonts w:hint="eastAsia" w:ascii="黑体" w:hAnsi="黑体" w:eastAsia="黑体"/>
          <w:sz w:val="28"/>
          <w:szCs w:val="28"/>
        </w:rPr>
        <w:t>】理财产品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bookmarkStart w:id="1" w:name="_GoBack"/>
      <w:bookmarkEnd w:id="1"/>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18</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6</w:t>
        </w:r>
        <w:r>
          <w:fldChar w:fldCharType="end"/>
        </w:r>
      </w:p>
    </w:sdtContent>
  </w:sdt>
  <w:p>
    <w:pPr>
      <w:pStyle w:val="1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6</w:t>
        </w:r>
        <w:r>
          <w:fldChar w:fldCharType="end"/>
        </w:r>
      </w:p>
    </w:sdtContent>
  </w:sdt>
  <w:p>
    <w:pPr>
      <w:pStyle w:val="1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docPartObj>
        <w:docPartGallery w:val="autotext"/>
      </w:docPartObj>
    </w:sdtPr>
    <w:sdtContent>
      <w:p>
        <w:pPr>
          <w:pStyle w:val="14"/>
          <w:jc w:val="center"/>
        </w:pPr>
        <w:r>
          <w:rPr>
            <w:rFonts w:hint="eastAsia"/>
          </w:rPr>
          <w:t>第</w:t>
        </w:r>
        <w:r>
          <w:fldChar w:fldCharType="begin"/>
        </w:r>
        <w:r>
          <w:instrText xml:space="preserve">PAGE   \* MERGEFORMAT</w:instrText>
        </w:r>
        <w:r>
          <w:fldChar w:fldCharType="separate"/>
        </w:r>
        <w:r>
          <w:rPr>
            <w:lang w:val="zh-CN"/>
          </w:rPr>
          <w:t>4</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4FC7"/>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140"/>
    <w:rsid w:val="001913D5"/>
    <w:rsid w:val="0019183C"/>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4219"/>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CF2381"/>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0D70"/>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149E474A"/>
    <w:rsid w:val="255532D2"/>
    <w:rsid w:val="25EC2473"/>
    <w:rsid w:val="35C863A1"/>
    <w:rsid w:val="372C3B0E"/>
    <w:rsid w:val="3C7F4A77"/>
    <w:rsid w:val="4F9B33E8"/>
    <w:rsid w:val="602265D4"/>
    <w:rsid w:val="630100D1"/>
    <w:rsid w:val="7C4354B3"/>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字符"/>
    <w:link w:val="22"/>
    <w:qFormat/>
    <w:uiPriority w:val="0"/>
    <w:rPr>
      <w:rFonts w:ascii="Cambria" w:hAnsi="Cambria"/>
      <w:b/>
      <w:kern w:val="2"/>
      <w:sz w:val="32"/>
    </w:rPr>
  </w:style>
  <w:style w:type="character" w:customStyle="1" w:styleId="35">
    <w:name w:val="正文文本 字符"/>
    <w:link w:val="9"/>
    <w:qFormat/>
    <w:uiPriority w:val="0"/>
    <w:rPr>
      <w:rFonts w:ascii="宋体"/>
      <w:kern w:val="0"/>
    </w:rPr>
  </w:style>
  <w:style w:type="character" w:customStyle="1" w:styleId="36">
    <w:name w:val="页眉 字符"/>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字符"/>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字符"/>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字符"/>
    <w:basedOn w:val="26"/>
    <w:link w:val="4"/>
    <w:qFormat/>
    <w:uiPriority w:val="0"/>
    <w:rPr>
      <w:b/>
      <w:kern w:val="2"/>
      <w:sz w:val="32"/>
    </w:rPr>
  </w:style>
  <w:style w:type="character" w:customStyle="1" w:styleId="65">
    <w:name w:val="HTML 预设格式 字符"/>
    <w:basedOn w:val="26"/>
    <w:link w:val="20"/>
    <w:qFormat/>
    <w:uiPriority w:val="99"/>
    <w:rPr>
      <w:rFonts w:ascii="宋体" w:hAnsi="宋体" w:cs="宋体"/>
      <w:sz w:val="24"/>
      <w:szCs w:val="24"/>
    </w:rPr>
  </w:style>
  <w:style w:type="character" w:customStyle="1" w:styleId="66">
    <w:name w:val="页脚 字符"/>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6A4296-15C5-453B-BF80-F174DBA11D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1501</Words>
  <Characters>8562</Characters>
  <Lines>71</Lines>
  <Paragraphs>20</Paragraphs>
  <TotalTime>0</TotalTime>
  <ScaleCrop>false</ScaleCrop>
  <LinksUpToDate>false</LinksUpToDate>
  <CharactersWithSpaces>10043</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2023-05-30T08:53:00Z</dcterms:created>
  <dc:creator>Mandy.Z</dc:creator>
  <cp:lastModifiedBy>Administrator</cp:lastModifiedBy>
  <cp:lastPrinted>2017-10-31T06:33:00Z</cp:lastPrinted>
  <dcterms:modified xsi:type="dcterms:W3CDTF">2023-09-22T07:58:34Z</dcterms:modified>
  <dc:title>___证券投资基金招募说明书1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C32D81A215754ADF9BB9D8DAEE47718A</vt:lpwstr>
  </property>
</Properties>
</file>